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FCCD" w14:textId="77777777" w:rsidR="00911DB2" w:rsidRPr="002C5F8B" w:rsidRDefault="00911DB2" w:rsidP="00911DB2">
      <w:pPr>
        <w:rPr>
          <w:rFonts w:asciiTheme="minorHAnsi" w:hAnsiTheme="minorHAnsi" w:cstheme="minorHAnsi"/>
          <w:b/>
          <w:noProof/>
          <w:lang w:eastAsia="nb-NO"/>
        </w:rPr>
      </w:pPr>
    </w:p>
    <w:p w14:paraId="44380D14" w14:textId="3C0ED004" w:rsidR="00911DB2" w:rsidRPr="002C5F8B" w:rsidRDefault="00911DB2" w:rsidP="00911DB2">
      <w:pPr>
        <w:rPr>
          <w:rFonts w:asciiTheme="minorHAnsi" w:hAnsiTheme="minorHAnsi" w:cstheme="minorHAnsi"/>
        </w:rPr>
      </w:pPr>
    </w:p>
    <w:p w14:paraId="355A927B" w14:textId="6F6CE130" w:rsidR="00911DB2" w:rsidRPr="002C5F8B" w:rsidRDefault="00911DB2" w:rsidP="00911DB2">
      <w:pPr>
        <w:rPr>
          <w:rFonts w:asciiTheme="minorHAnsi" w:hAnsiTheme="minorHAnsi" w:cstheme="minorHAnsi"/>
          <w:color w:val="365F91"/>
          <w:sz w:val="18"/>
          <w:szCs w:val="18"/>
        </w:rPr>
      </w:pPr>
      <w:r w:rsidRPr="002C5F8B">
        <w:rPr>
          <w:rFonts w:asciiTheme="minorHAnsi" w:hAnsiTheme="minorHAnsi" w:cstheme="minorHAnsi"/>
        </w:rPr>
        <w:tab/>
      </w:r>
    </w:p>
    <w:p w14:paraId="2A69E8A5" w14:textId="77777777" w:rsidR="002C5F8B" w:rsidRPr="002C5F8B" w:rsidRDefault="002C5F8B" w:rsidP="00911DB2">
      <w:pPr>
        <w:rPr>
          <w:rFonts w:asciiTheme="minorHAnsi" w:hAnsiTheme="minorHAnsi" w:cstheme="minorHAnsi"/>
          <w:color w:val="365F91"/>
          <w:sz w:val="18"/>
          <w:szCs w:val="18"/>
        </w:rPr>
      </w:pPr>
    </w:p>
    <w:p w14:paraId="63D5BF4A" w14:textId="4AD24D0E" w:rsidR="00F623FE" w:rsidRPr="002C5F8B" w:rsidRDefault="002C5F8B" w:rsidP="002C5F8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5F8B">
        <w:rPr>
          <w:rFonts w:asciiTheme="minorHAnsi" w:hAnsiTheme="minorHAnsi" w:cstheme="minorHAnsi"/>
          <w:b/>
          <w:sz w:val="28"/>
          <w:szCs w:val="28"/>
        </w:rPr>
        <w:t>PASIENTINFORMASJON</w:t>
      </w:r>
      <w:r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Pr="002C5F8B">
        <w:rPr>
          <w:rFonts w:asciiTheme="minorHAnsi" w:hAnsiTheme="minorHAnsi" w:cstheme="minorHAnsi"/>
          <w:b/>
          <w:sz w:val="28"/>
          <w:szCs w:val="28"/>
        </w:rPr>
        <w:t>MET</w:t>
      </w:r>
      <w:r w:rsidR="00B95D31">
        <w:rPr>
          <w:rFonts w:asciiTheme="minorHAnsi" w:hAnsiTheme="minorHAnsi" w:cstheme="minorHAnsi"/>
          <w:b/>
          <w:sz w:val="28"/>
          <w:szCs w:val="28"/>
        </w:rPr>
        <w:t>H</w:t>
      </w:r>
      <w:r w:rsidRPr="002C5F8B">
        <w:rPr>
          <w:rFonts w:asciiTheme="minorHAnsi" w:hAnsiTheme="minorHAnsi" w:cstheme="minorHAnsi"/>
          <w:b/>
          <w:sz w:val="28"/>
          <w:szCs w:val="28"/>
        </w:rPr>
        <w:t>OTREXAT</w:t>
      </w:r>
      <w:r w:rsidR="00B95D31">
        <w:rPr>
          <w:rFonts w:asciiTheme="minorHAnsi" w:hAnsiTheme="minorHAnsi" w:cstheme="minorHAnsi"/>
          <w:b/>
          <w:sz w:val="28"/>
          <w:szCs w:val="28"/>
        </w:rPr>
        <w:t>E</w:t>
      </w:r>
    </w:p>
    <w:p w14:paraId="1A186854" w14:textId="77777777" w:rsidR="00F623FE" w:rsidRPr="002C5F8B" w:rsidRDefault="00F623FE" w:rsidP="00F623FE">
      <w:pPr>
        <w:rPr>
          <w:rFonts w:asciiTheme="minorHAnsi" w:hAnsiTheme="minorHAnsi" w:cstheme="minorHAnsi"/>
          <w:b/>
          <w:sz w:val="36"/>
          <w:szCs w:val="36"/>
        </w:rPr>
      </w:pPr>
    </w:p>
    <w:p w14:paraId="35672E51" w14:textId="77777777" w:rsidR="00F623FE" w:rsidRPr="002C5F8B" w:rsidRDefault="00F623FE" w:rsidP="00F623FE">
      <w:pPr>
        <w:rPr>
          <w:rFonts w:asciiTheme="minorHAnsi" w:hAnsiTheme="minorHAnsi" w:cstheme="minorHAnsi"/>
          <w:b/>
        </w:rPr>
      </w:pPr>
      <w:r w:rsidRPr="002C5F8B">
        <w:rPr>
          <w:rFonts w:asciiTheme="minorHAnsi" w:hAnsiTheme="minorHAnsi" w:cstheme="minorHAnsi"/>
          <w:b/>
        </w:rPr>
        <w:t xml:space="preserve">Hva er </w:t>
      </w:r>
      <w:proofErr w:type="spellStart"/>
      <w:r w:rsidRPr="002C5F8B">
        <w:rPr>
          <w:rFonts w:asciiTheme="minorHAnsi" w:hAnsiTheme="minorHAnsi" w:cstheme="minorHAnsi"/>
          <w:b/>
        </w:rPr>
        <w:t>Methotrexate</w:t>
      </w:r>
      <w:proofErr w:type="spellEnd"/>
      <w:r w:rsidRPr="002C5F8B">
        <w:rPr>
          <w:rFonts w:asciiTheme="minorHAnsi" w:hAnsiTheme="minorHAnsi" w:cstheme="minorHAnsi"/>
          <w:b/>
        </w:rPr>
        <w:t>?</w:t>
      </w:r>
    </w:p>
    <w:p w14:paraId="52689E0F" w14:textId="2DC221D1" w:rsidR="00F623FE" w:rsidRPr="002C5F8B" w:rsidRDefault="00364844" w:rsidP="00F623FE">
      <w:pPr>
        <w:rPr>
          <w:rFonts w:asciiTheme="minorHAnsi" w:hAnsiTheme="minorHAnsi" w:cstheme="minorHAnsi"/>
        </w:rPr>
      </w:pPr>
      <w:proofErr w:type="spellStart"/>
      <w:r w:rsidRPr="002C5F8B">
        <w:rPr>
          <w:rFonts w:asciiTheme="minorHAnsi" w:hAnsiTheme="minorHAnsi" w:cstheme="minorHAnsi"/>
        </w:rPr>
        <w:t>Met</w:t>
      </w:r>
      <w:r w:rsidR="00B95D31">
        <w:rPr>
          <w:rFonts w:asciiTheme="minorHAnsi" w:hAnsiTheme="minorHAnsi" w:cstheme="minorHAnsi"/>
        </w:rPr>
        <w:t>h</w:t>
      </w:r>
      <w:r w:rsidRPr="002C5F8B">
        <w:rPr>
          <w:rFonts w:asciiTheme="minorHAnsi" w:hAnsiTheme="minorHAnsi" w:cstheme="minorHAnsi"/>
        </w:rPr>
        <w:t>otrexat</w:t>
      </w:r>
      <w:r w:rsidR="003E565B">
        <w:rPr>
          <w:rFonts w:asciiTheme="minorHAnsi" w:hAnsiTheme="minorHAnsi" w:cstheme="minorHAnsi"/>
        </w:rPr>
        <w:t>e</w:t>
      </w:r>
      <w:proofErr w:type="spellEnd"/>
      <w:r w:rsidRPr="002C5F8B">
        <w:rPr>
          <w:rFonts w:asciiTheme="minorHAnsi" w:hAnsiTheme="minorHAnsi" w:cstheme="minorHAnsi"/>
        </w:rPr>
        <w:t xml:space="preserve"> er e</w:t>
      </w:r>
      <w:r w:rsidR="00384CDF">
        <w:rPr>
          <w:rFonts w:asciiTheme="minorHAnsi" w:hAnsiTheme="minorHAnsi" w:cstheme="minorHAnsi"/>
        </w:rPr>
        <w:t>t legemiddel</w:t>
      </w:r>
      <w:r w:rsidR="00F623FE" w:rsidRPr="002C5F8B">
        <w:rPr>
          <w:rFonts w:asciiTheme="minorHAnsi" w:hAnsiTheme="minorHAnsi" w:cstheme="minorHAnsi"/>
        </w:rPr>
        <w:t xml:space="preserve"> som </w:t>
      </w:r>
      <w:r w:rsidR="00384CDF">
        <w:rPr>
          <w:rFonts w:asciiTheme="minorHAnsi" w:hAnsiTheme="minorHAnsi" w:cstheme="minorHAnsi"/>
        </w:rPr>
        <w:t>demper immunsystemets aktivitet og påvirker</w:t>
      </w:r>
      <w:r w:rsidR="00F623FE" w:rsidRPr="002C5F8B">
        <w:rPr>
          <w:rFonts w:asciiTheme="minorHAnsi" w:hAnsiTheme="minorHAnsi" w:cstheme="minorHAnsi"/>
        </w:rPr>
        <w:t xml:space="preserve"> celledeling. Den brukes ved </w:t>
      </w:r>
      <w:r w:rsidR="00384CDF">
        <w:rPr>
          <w:rFonts w:asciiTheme="minorHAnsi" w:hAnsiTheme="minorHAnsi" w:cstheme="minorHAnsi"/>
        </w:rPr>
        <w:t xml:space="preserve">flere </w:t>
      </w:r>
      <w:proofErr w:type="spellStart"/>
      <w:r w:rsidR="00384CDF">
        <w:rPr>
          <w:rFonts w:asciiTheme="minorHAnsi" w:hAnsiTheme="minorHAnsi" w:cstheme="minorHAnsi"/>
        </w:rPr>
        <w:t>betennelsesaktige</w:t>
      </w:r>
      <w:proofErr w:type="spellEnd"/>
      <w:r w:rsidR="00384CDF">
        <w:rPr>
          <w:rFonts w:asciiTheme="minorHAnsi" w:hAnsiTheme="minorHAnsi" w:cstheme="minorHAnsi"/>
        </w:rPr>
        <w:t xml:space="preserve"> (inflammatoriske)</w:t>
      </w:r>
      <w:r w:rsidR="002510C1" w:rsidRPr="002C5F8B">
        <w:rPr>
          <w:rFonts w:asciiTheme="minorHAnsi" w:hAnsiTheme="minorHAnsi" w:cstheme="minorHAnsi"/>
        </w:rPr>
        <w:t xml:space="preserve"> sykdommer</w:t>
      </w:r>
      <w:r w:rsidR="00384CDF">
        <w:rPr>
          <w:rFonts w:asciiTheme="minorHAnsi" w:hAnsiTheme="minorHAnsi" w:cstheme="minorHAnsi"/>
        </w:rPr>
        <w:t xml:space="preserve">, blant annet psoriasis og andre hudsykdommer. </w:t>
      </w:r>
      <w:r w:rsidR="002510C1" w:rsidRPr="002C5F8B">
        <w:rPr>
          <w:rFonts w:asciiTheme="minorHAnsi" w:hAnsiTheme="minorHAnsi" w:cstheme="minorHAnsi"/>
        </w:rPr>
        <w:t xml:space="preserve"> </w:t>
      </w:r>
    </w:p>
    <w:p w14:paraId="12848DFA" w14:textId="77777777" w:rsidR="00F623FE" w:rsidRPr="002C5F8B" w:rsidRDefault="00F623FE" w:rsidP="00F623FE">
      <w:pPr>
        <w:rPr>
          <w:rFonts w:asciiTheme="minorHAnsi" w:hAnsiTheme="minorHAnsi" w:cstheme="minorHAnsi"/>
        </w:rPr>
      </w:pPr>
    </w:p>
    <w:p w14:paraId="02477236" w14:textId="3B2BE268" w:rsidR="00F623FE" w:rsidRPr="002C5F8B" w:rsidRDefault="00F623FE" w:rsidP="00F623FE">
      <w:pPr>
        <w:rPr>
          <w:rFonts w:asciiTheme="minorHAnsi" w:hAnsiTheme="minorHAnsi" w:cstheme="minorHAnsi"/>
          <w:b/>
        </w:rPr>
      </w:pPr>
      <w:r w:rsidRPr="002C5F8B">
        <w:rPr>
          <w:rFonts w:asciiTheme="minorHAnsi" w:hAnsiTheme="minorHAnsi" w:cstheme="minorHAnsi"/>
          <w:b/>
        </w:rPr>
        <w:t xml:space="preserve">Hvordan </w:t>
      </w:r>
      <w:r w:rsidR="00384CDF">
        <w:rPr>
          <w:rFonts w:asciiTheme="minorHAnsi" w:hAnsiTheme="minorHAnsi" w:cstheme="minorHAnsi"/>
          <w:b/>
        </w:rPr>
        <w:t>brukes</w:t>
      </w:r>
      <w:r w:rsidRPr="002C5F8B">
        <w:rPr>
          <w:rFonts w:asciiTheme="minorHAnsi" w:hAnsiTheme="minorHAnsi" w:cstheme="minorHAnsi"/>
          <w:b/>
        </w:rPr>
        <w:t xml:space="preserve"> </w:t>
      </w:r>
      <w:proofErr w:type="spellStart"/>
      <w:r w:rsidR="00B95D31" w:rsidRPr="00B95D31">
        <w:rPr>
          <w:rFonts w:asciiTheme="minorHAnsi" w:hAnsiTheme="minorHAnsi" w:cstheme="minorHAnsi"/>
          <w:b/>
        </w:rPr>
        <w:t>Methotrexat</w:t>
      </w:r>
      <w:r w:rsidR="00B95D31">
        <w:rPr>
          <w:rFonts w:asciiTheme="minorHAnsi" w:hAnsiTheme="minorHAnsi" w:cstheme="minorHAnsi"/>
          <w:b/>
        </w:rPr>
        <w:t>e</w:t>
      </w:r>
      <w:proofErr w:type="spellEnd"/>
      <w:r w:rsidRPr="002C5F8B">
        <w:rPr>
          <w:rFonts w:asciiTheme="minorHAnsi" w:hAnsiTheme="minorHAnsi" w:cstheme="minorHAnsi"/>
          <w:b/>
        </w:rPr>
        <w:t>?</w:t>
      </w:r>
    </w:p>
    <w:p w14:paraId="149EFC44" w14:textId="1D9981CB" w:rsidR="00384CDF" w:rsidRPr="00384CDF" w:rsidRDefault="00B95D31" w:rsidP="00384CDF">
      <w:pPr>
        <w:rPr>
          <w:rFonts w:asciiTheme="minorHAnsi" w:hAnsiTheme="minorHAnsi" w:cstheme="minorHAnsi"/>
        </w:rPr>
      </w:pPr>
      <w:proofErr w:type="spellStart"/>
      <w:r w:rsidRPr="00B95D31">
        <w:rPr>
          <w:rFonts w:asciiTheme="minorHAnsi" w:hAnsiTheme="minorHAnsi" w:cstheme="minorHAnsi"/>
        </w:rPr>
        <w:t>Methotrexat</w:t>
      </w:r>
      <w:r>
        <w:rPr>
          <w:rFonts w:asciiTheme="minorHAnsi" w:hAnsiTheme="minorHAnsi" w:cstheme="minorHAnsi"/>
        </w:rPr>
        <w:t>e</w:t>
      </w:r>
      <w:proofErr w:type="spellEnd"/>
      <w:r w:rsidR="00384CDF" w:rsidRPr="00384CDF">
        <w:rPr>
          <w:rFonts w:asciiTheme="minorHAnsi" w:hAnsiTheme="minorHAnsi" w:cstheme="minorHAnsi"/>
        </w:rPr>
        <w:t xml:space="preserve"> tas én gang per uke, enten som tabletter eller sprøyte. Dosen bestemmes av legen. Det er viktig at medisinen kun tas én fast dag i uken.</w:t>
      </w:r>
    </w:p>
    <w:p w14:paraId="32406F6E" w14:textId="77777777" w:rsidR="00384CDF" w:rsidRPr="00384CDF" w:rsidRDefault="00384CDF" w:rsidP="00384CDF">
      <w:pPr>
        <w:rPr>
          <w:rFonts w:asciiTheme="minorHAnsi" w:hAnsiTheme="minorHAnsi" w:cstheme="minorHAnsi"/>
        </w:rPr>
      </w:pPr>
      <w:r w:rsidRPr="00384CDF">
        <w:rPr>
          <w:rFonts w:asciiTheme="minorHAnsi" w:hAnsiTheme="minorHAnsi" w:cstheme="minorHAnsi"/>
        </w:rPr>
        <w:t>Effekten kommer gradvis og sees vanligvis etter 4–8 uker. Behandlingsvarigheten varierer fra måneder til flere år.</w:t>
      </w:r>
    </w:p>
    <w:p w14:paraId="6CFFA7AC" w14:textId="77777777" w:rsidR="00384CDF" w:rsidRPr="00384CDF" w:rsidRDefault="00384CDF" w:rsidP="00384CDF">
      <w:pPr>
        <w:rPr>
          <w:rFonts w:asciiTheme="minorHAnsi" w:hAnsiTheme="minorHAnsi" w:cstheme="minorHAnsi"/>
        </w:rPr>
      </w:pPr>
      <w:r w:rsidRPr="00384CDF">
        <w:rPr>
          <w:rFonts w:asciiTheme="minorHAnsi" w:hAnsiTheme="minorHAnsi" w:cstheme="minorHAnsi"/>
        </w:rPr>
        <w:t>Folsyre brukes ofte som tilleggsbehandling for å redusere bivirkninger. Legen informerer om dosering.</w:t>
      </w:r>
    </w:p>
    <w:p w14:paraId="1EA0EFCB" w14:textId="77777777" w:rsidR="002C14A1" w:rsidRPr="002C5F8B" w:rsidRDefault="002C14A1" w:rsidP="00F623FE">
      <w:pPr>
        <w:rPr>
          <w:rFonts w:asciiTheme="minorHAnsi" w:hAnsiTheme="minorHAnsi" w:cstheme="minorHAnsi"/>
        </w:rPr>
      </w:pPr>
    </w:p>
    <w:p w14:paraId="1F1BFB6E" w14:textId="4321D01B" w:rsidR="002C14A1" w:rsidRPr="002C5F8B" w:rsidRDefault="00384CDF" w:rsidP="00F623F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Mulige bivirkninger</w:t>
      </w:r>
    </w:p>
    <w:p w14:paraId="2ED136A4" w14:textId="77777777" w:rsidR="00384CDF" w:rsidRPr="00384CDF" w:rsidRDefault="00384CDF" w:rsidP="00384CDF">
      <w:pPr>
        <w:rPr>
          <w:rFonts w:asciiTheme="minorHAnsi" w:hAnsiTheme="minorHAnsi" w:cstheme="minorHAnsi"/>
        </w:rPr>
      </w:pPr>
      <w:r w:rsidRPr="00384CDF">
        <w:rPr>
          <w:rFonts w:asciiTheme="minorHAnsi" w:hAnsiTheme="minorHAnsi" w:cstheme="minorHAnsi"/>
        </w:rPr>
        <w:t>Vanlige bivirkninger er kvalme, tretthet og uvelhet det første døgnet etter inntak. Dette bedres ofte etter de første ukene av behandlingen. Mange synes det er praktisk å ta medisinen på kvelden.</w:t>
      </w:r>
    </w:p>
    <w:p w14:paraId="74FFF4D6" w14:textId="77777777" w:rsidR="00384CDF" w:rsidRDefault="00384CDF" w:rsidP="00384CDF">
      <w:pPr>
        <w:rPr>
          <w:rFonts w:asciiTheme="minorHAnsi" w:hAnsiTheme="minorHAnsi" w:cstheme="minorHAnsi"/>
        </w:rPr>
      </w:pPr>
    </w:p>
    <w:p w14:paraId="2B29F5B1" w14:textId="1B144DF8" w:rsidR="00384CDF" w:rsidRPr="00384CDF" w:rsidRDefault="00384CDF" w:rsidP="00384CDF">
      <w:pPr>
        <w:rPr>
          <w:rFonts w:asciiTheme="minorHAnsi" w:hAnsiTheme="minorHAnsi" w:cstheme="minorHAnsi"/>
        </w:rPr>
      </w:pPr>
      <w:r w:rsidRPr="00384CDF">
        <w:rPr>
          <w:rFonts w:asciiTheme="minorHAnsi" w:hAnsiTheme="minorHAnsi" w:cstheme="minorHAnsi"/>
        </w:rPr>
        <w:t>Noen kan også oppleve:</w:t>
      </w:r>
    </w:p>
    <w:p w14:paraId="03C33F0D" w14:textId="77777777" w:rsidR="00384CDF" w:rsidRPr="00384CDF" w:rsidRDefault="00384CDF" w:rsidP="00384CD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84CDF">
        <w:rPr>
          <w:rFonts w:asciiTheme="minorHAnsi" w:hAnsiTheme="minorHAnsi" w:cstheme="minorHAnsi"/>
        </w:rPr>
        <w:t>munnsår</w:t>
      </w:r>
    </w:p>
    <w:p w14:paraId="74568E97" w14:textId="77777777" w:rsidR="00384CDF" w:rsidRPr="00384CDF" w:rsidRDefault="00384CDF" w:rsidP="00384CD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84CDF">
        <w:rPr>
          <w:rFonts w:asciiTheme="minorHAnsi" w:hAnsiTheme="minorHAnsi" w:cstheme="minorHAnsi"/>
        </w:rPr>
        <w:t>løs mage</w:t>
      </w:r>
    </w:p>
    <w:p w14:paraId="37A931E3" w14:textId="77777777" w:rsidR="00384CDF" w:rsidRPr="00384CDF" w:rsidRDefault="00384CDF" w:rsidP="00384CD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84CDF">
        <w:rPr>
          <w:rFonts w:asciiTheme="minorHAnsi" w:hAnsiTheme="minorHAnsi" w:cstheme="minorHAnsi"/>
        </w:rPr>
        <w:t>hodepine</w:t>
      </w:r>
    </w:p>
    <w:p w14:paraId="3655F2ED" w14:textId="77777777" w:rsidR="00384CDF" w:rsidRDefault="00384CDF" w:rsidP="00384CD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84CDF">
        <w:rPr>
          <w:rFonts w:asciiTheme="minorHAnsi" w:hAnsiTheme="minorHAnsi" w:cstheme="minorHAnsi"/>
        </w:rPr>
        <w:t>økt infeksjonstendens</w:t>
      </w:r>
    </w:p>
    <w:p w14:paraId="3CB77428" w14:textId="77777777" w:rsidR="00384CDF" w:rsidRDefault="00384CDF" w:rsidP="00384CDF"/>
    <w:p w14:paraId="746ECE66" w14:textId="54C96028" w:rsidR="00384CDF" w:rsidRPr="003E565B" w:rsidRDefault="00384CDF" w:rsidP="00384CDF">
      <w:pPr>
        <w:rPr>
          <w:rFonts w:asciiTheme="minorHAnsi" w:hAnsiTheme="minorHAnsi" w:cstheme="minorHAnsi"/>
          <w:u w:val="single"/>
        </w:rPr>
      </w:pPr>
      <w:r w:rsidRPr="003E565B">
        <w:rPr>
          <w:u w:val="single"/>
        </w:rPr>
        <w:t xml:space="preserve">Ved feber, infeksjonstegn, oppstart av antibiotikabehandling eller annen akutt sykdom skal </w:t>
      </w:r>
      <w:proofErr w:type="spellStart"/>
      <w:r w:rsidR="00F06D0F" w:rsidRPr="00B95D31">
        <w:rPr>
          <w:rFonts w:eastAsia="Times New Roman"/>
          <w:u w:val="single"/>
          <w:lang w:eastAsia="nb-NO"/>
        </w:rPr>
        <w:t>Methotrexat</w:t>
      </w:r>
      <w:r w:rsidR="00F06D0F" w:rsidRPr="003E565B">
        <w:rPr>
          <w:rFonts w:eastAsia="Times New Roman"/>
          <w:u w:val="single"/>
          <w:lang w:eastAsia="nb-NO"/>
        </w:rPr>
        <w:t>e</w:t>
      </w:r>
      <w:proofErr w:type="spellEnd"/>
      <w:r w:rsidRPr="003E565B">
        <w:rPr>
          <w:u w:val="single"/>
        </w:rPr>
        <w:t xml:space="preserve"> pauses. Kontakt lege for vurdering. Behandlingen skal ikke gjenopptas før dette er avklart med lege.</w:t>
      </w:r>
    </w:p>
    <w:p w14:paraId="59F10960" w14:textId="77777777" w:rsidR="00384CDF" w:rsidRDefault="00384CDF" w:rsidP="00384CDF">
      <w:pPr>
        <w:pStyle w:val="NormalWeb"/>
      </w:pPr>
      <w:r>
        <w:t xml:space="preserve">Ved </w:t>
      </w:r>
      <w:proofErr w:type="spellStart"/>
      <w:r>
        <w:t>tungpust</w:t>
      </w:r>
      <w:proofErr w:type="spellEnd"/>
      <w:r>
        <w:t>, vedvarende hoste eller uttalt sykdomsfølelse må lege kontaktes.</w:t>
      </w:r>
    </w:p>
    <w:p w14:paraId="2BC6E220" w14:textId="0A18C6B5" w:rsidR="00384CDF" w:rsidRPr="003E565B" w:rsidRDefault="00B95D31" w:rsidP="00F623FE">
      <w:pPr>
        <w:rPr>
          <w:rFonts w:eastAsia="Times New Roman"/>
          <w:u w:val="single"/>
          <w:lang w:eastAsia="nb-NO"/>
        </w:rPr>
      </w:pPr>
      <w:r w:rsidRPr="00B95D31">
        <w:rPr>
          <w:rFonts w:eastAsia="Times New Roman"/>
          <w:lang w:eastAsia="nb-NO"/>
        </w:rPr>
        <w:t xml:space="preserve">Behandling med </w:t>
      </w:r>
      <w:proofErr w:type="spellStart"/>
      <w:r w:rsidRPr="00B95D31">
        <w:rPr>
          <w:rFonts w:eastAsia="Times New Roman"/>
          <w:lang w:eastAsia="nb-NO"/>
        </w:rPr>
        <w:t>Methotrexat</w:t>
      </w:r>
      <w:r>
        <w:rPr>
          <w:rFonts w:eastAsia="Times New Roman"/>
          <w:lang w:eastAsia="nb-NO"/>
        </w:rPr>
        <w:t>e</w:t>
      </w:r>
      <w:proofErr w:type="spellEnd"/>
      <w:r w:rsidRPr="00B95D31">
        <w:rPr>
          <w:rFonts w:eastAsia="Times New Roman"/>
          <w:lang w:eastAsia="nb-NO"/>
        </w:rPr>
        <w:t xml:space="preserve"> kan i sjeldne tilfeller medføre påvirkning av både lever, lunger og benmarg/blodceller</w:t>
      </w:r>
      <w:r w:rsidRPr="003E565B">
        <w:rPr>
          <w:rFonts w:eastAsia="Times New Roman"/>
          <w:lang w:eastAsia="nb-NO"/>
        </w:rPr>
        <w:t xml:space="preserve">. </w:t>
      </w:r>
      <w:r w:rsidR="008F12B1" w:rsidRPr="003E565B">
        <w:rPr>
          <w:rFonts w:eastAsia="Times New Roman"/>
          <w:lang w:eastAsia="nb-NO"/>
        </w:rPr>
        <w:t xml:space="preserve">Nedsatt nyrefunksjon kan også påvirke hvordan kroppen håndterer </w:t>
      </w:r>
      <w:proofErr w:type="spellStart"/>
      <w:r w:rsidR="003E565B">
        <w:rPr>
          <w:rFonts w:eastAsia="Times New Roman"/>
          <w:lang w:eastAsia="nb-NO"/>
        </w:rPr>
        <w:t>M</w:t>
      </w:r>
      <w:r w:rsidRPr="003E565B">
        <w:rPr>
          <w:rFonts w:eastAsia="Times New Roman"/>
          <w:lang w:eastAsia="nb-NO"/>
        </w:rPr>
        <w:t>ethotrexat</w:t>
      </w:r>
      <w:r w:rsidR="003E565B">
        <w:rPr>
          <w:rFonts w:eastAsia="Times New Roman"/>
          <w:lang w:eastAsia="nb-NO"/>
        </w:rPr>
        <w:t>e</w:t>
      </w:r>
      <w:proofErr w:type="spellEnd"/>
      <w:r w:rsidRPr="003E565B">
        <w:rPr>
          <w:rFonts w:eastAsia="Times New Roman"/>
          <w:lang w:eastAsia="nb-NO"/>
        </w:rPr>
        <w:t xml:space="preserve">. </w:t>
      </w:r>
      <w:r w:rsidR="008F12B1" w:rsidRPr="003E565B">
        <w:rPr>
          <w:rFonts w:eastAsia="Times New Roman"/>
          <w:u w:val="single"/>
          <w:lang w:eastAsia="nb-NO"/>
        </w:rPr>
        <w:t>Derfor er regelmessige blodprøver og kontroller nødvendige.</w:t>
      </w:r>
    </w:p>
    <w:p w14:paraId="00ED8169" w14:textId="77777777" w:rsidR="008F12B1" w:rsidRPr="008F12B1" w:rsidRDefault="008F12B1" w:rsidP="00F623FE">
      <w:pPr>
        <w:rPr>
          <w:rFonts w:asciiTheme="minorHAnsi" w:hAnsiTheme="minorHAnsi" w:cstheme="minorHAnsi"/>
          <w:b/>
          <w:bCs/>
          <w:u w:val="single"/>
        </w:rPr>
      </w:pPr>
    </w:p>
    <w:p w14:paraId="6AFA4ADD" w14:textId="45215BAD" w:rsidR="00C303A8" w:rsidRPr="002C5F8B" w:rsidRDefault="00384CDF" w:rsidP="00F623FE">
      <w:pPr>
        <w:rPr>
          <w:rFonts w:asciiTheme="minorHAnsi" w:hAnsiTheme="minorHAnsi" w:cstheme="minorHAnsi"/>
          <w:b/>
        </w:rPr>
      </w:pPr>
      <w:r w:rsidRPr="00384CDF">
        <w:rPr>
          <w:rFonts w:asciiTheme="minorHAnsi" w:hAnsiTheme="minorHAnsi" w:cstheme="minorHAnsi"/>
          <w:b/>
        </w:rPr>
        <w:t>Oppfølging og blodprøver</w:t>
      </w:r>
    </w:p>
    <w:p w14:paraId="546F25E0" w14:textId="4E69F8B6" w:rsidR="008F12B1" w:rsidRDefault="008F12B1" w:rsidP="00384CDF">
      <w:pPr>
        <w:rPr>
          <w:rFonts w:asciiTheme="minorHAnsi" w:hAnsiTheme="minorHAnsi" w:cstheme="minorHAnsi"/>
          <w:b/>
          <w:bCs/>
          <w:u w:val="single"/>
        </w:rPr>
      </w:pPr>
      <w:r w:rsidRPr="008F12B1">
        <w:rPr>
          <w:rFonts w:asciiTheme="minorHAnsi" w:hAnsiTheme="minorHAnsi" w:cstheme="minorHAnsi"/>
        </w:rPr>
        <w:t xml:space="preserve">Det er nødvendig med regelmessige blodprøver under behandlingen. </w:t>
      </w:r>
      <w:r w:rsidR="00F06D0F" w:rsidRPr="00F06D0F">
        <w:rPr>
          <w:rFonts w:asciiTheme="minorHAnsi" w:hAnsiTheme="minorHAnsi" w:cstheme="minorHAnsi"/>
        </w:rPr>
        <w:t>Blodprøver tas før oppstart, etter 2, 4, 6 og 10 uker, deretter vanligvis hver 3. måned ved stabile prøvesvar. Kontrollhyppigheten kan tilpasses individuelt</w:t>
      </w:r>
      <w:r w:rsidRPr="008F12B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F06D0F" w:rsidRPr="00F06D0F">
        <w:rPr>
          <w:rFonts w:asciiTheme="minorHAnsi" w:hAnsiTheme="minorHAnsi" w:cstheme="minorHAnsi"/>
        </w:rPr>
        <w:t xml:space="preserve">Blodprøvene bør fortrinnsvis tas samme dag som ukedosen </w:t>
      </w:r>
      <w:proofErr w:type="spellStart"/>
      <w:r w:rsidR="00F06D0F" w:rsidRPr="00F06D0F">
        <w:rPr>
          <w:rFonts w:asciiTheme="minorHAnsi" w:hAnsiTheme="minorHAnsi" w:cstheme="minorHAnsi"/>
        </w:rPr>
        <w:t>Methotrexate</w:t>
      </w:r>
      <w:proofErr w:type="spellEnd"/>
      <w:r w:rsidR="00F06D0F" w:rsidRPr="00F06D0F">
        <w:rPr>
          <w:rFonts w:asciiTheme="minorHAnsi" w:hAnsiTheme="minorHAnsi" w:cstheme="minorHAnsi"/>
        </w:rPr>
        <w:t xml:space="preserve"> tas, før dosen inntas. Alternativt kan prøvene tas 1–2 dager før neste ukedose</w:t>
      </w:r>
      <w:r w:rsidR="00F06D0F">
        <w:rPr>
          <w:rFonts w:asciiTheme="minorHAnsi" w:hAnsiTheme="minorHAnsi" w:cstheme="minorHAnsi"/>
        </w:rPr>
        <w:t xml:space="preserve">. </w:t>
      </w:r>
    </w:p>
    <w:p w14:paraId="5DD6743F" w14:textId="5130B3D0" w:rsidR="00384CDF" w:rsidRPr="003E565B" w:rsidRDefault="00384CDF" w:rsidP="00384CDF">
      <w:pPr>
        <w:rPr>
          <w:rFonts w:asciiTheme="minorHAnsi" w:hAnsiTheme="minorHAnsi" w:cstheme="minorHAnsi"/>
        </w:rPr>
      </w:pPr>
      <w:r w:rsidRPr="003E565B">
        <w:rPr>
          <w:rFonts w:asciiTheme="minorHAnsi" w:hAnsiTheme="minorHAnsi" w:cstheme="minorHAnsi"/>
        </w:rPr>
        <w:t>Det er viktig å møte til avtalte kontroller for å kunne oppdage bivirkninger tidlig og sikre trygg behandling.</w:t>
      </w:r>
    </w:p>
    <w:p w14:paraId="4CC487F0" w14:textId="77777777" w:rsidR="002333F5" w:rsidRPr="002C5F8B" w:rsidRDefault="002333F5" w:rsidP="00F623FE">
      <w:pPr>
        <w:rPr>
          <w:rFonts w:asciiTheme="minorHAnsi" w:hAnsiTheme="minorHAnsi" w:cstheme="minorHAnsi"/>
        </w:rPr>
      </w:pPr>
    </w:p>
    <w:p w14:paraId="3299D573" w14:textId="77777777" w:rsidR="00384CDF" w:rsidRDefault="00384CDF" w:rsidP="00F623FE">
      <w:pPr>
        <w:rPr>
          <w:rFonts w:asciiTheme="minorHAnsi" w:hAnsiTheme="minorHAnsi" w:cstheme="minorHAnsi"/>
          <w:b/>
        </w:rPr>
      </w:pPr>
    </w:p>
    <w:p w14:paraId="1FD28FC5" w14:textId="77777777" w:rsidR="00384CDF" w:rsidRDefault="00384CDF" w:rsidP="00F623FE">
      <w:pPr>
        <w:rPr>
          <w:rFonts w:asciiTheme="minorHAnsi" w:hAnsiTheme="minorHAnsi" w:cstheme="minorHAnsi"/>
          <w:b/>
        </w:rPr>
      </w:pPr>
    </w:p>
    <w:p w14:paraId="5F502D33" w14:textId="77777777" w:rsidR="00384CDF" w:rsidRDefault="00384CDF" w:rsidP="00F623FE">
      <w:pPr>
        <w:rPr>
          <w:rFonts w:asciiTheme="minorHAnsi" w:hAnsiTheme="minorHAnsi" w:cstheme="minorHAnsi"/>
          <w:b/>
        </w:rPr>
      </w:pPr>
    </w:p>
    <w:p w14:paraId="3489E083" w14:textId="77777777" w:rsidR="00384CDF" w:rsidRDefault="00384CDF" w:rsidP="00F623FE">
      <w:pPr>
        <w:rPr>
          <w:rFonts w:asciiTheme="minorHAnsi" w:hAnsiTheme="minorHAnsi" w:cstheme="minorHAnsi"/>
          <w:b/>
        </w:rPr>
      </w:pPr>
    </w:p>
    <w:p w14:paraId="2A9FD2F6" w14:textId="0DFCC122" w:rsidR="0053076F" w:rsidRDefault="0053076F" w:rsidP="00F623FE">
      <w:pPr>
        <w:rPr>
          <w:rFonts w:asciiTheme="minorHAnsi" w:hAnsiTheme="minorHAnsi" w:cstheme="minorHAnsi"/>
          <w:b/>
        </w:rPr>
      </w:pPr>
      <w:r w:rsidRPr="002C5F8B">
        <w:rPr>
          <w:rFonts w:asciiTheme="minorHAnsi" w:hAnsiTheme="minorHAnsi" w:cstheme="minorHAnsi"/>
          <w:b/>
        </w:rPr>
        <w:t>Kan jeg ta andre medisiner samtidig?</w:t>
      </w:r>
    </w:p>
    <w:p w14:paraId="6081566A" w14:textId="32F0200E" w:rsidR="00384CDF" w:rsidRPr="00384CDF" w:rsidRDefault="00384CDF" w:rsidP="00384CDF">
      <w:pPr>
        <w:rPr>
          <w:rFonts w:asciiTheme="minorHAnsi" w:hAnsiTheme="minorHAnsi" w:cstheme="minorHAnsi"/>
          <w:bCs/>
        </w:rPr>
      </w:pPr>
      <w:r w:rsidRPr="00384CDF">
        <w:rPr>
          <w:rFonts w:asciiTheme="minorHAnsi" w:hAnsiTheme="minorHAnsi" w:cstheme="minorHAnsi"/>
          <w:bCs/>
        </w:rPr>
        <w:t xml:space="preserve">Noen medisiner kan påvirke eller øke bivirkningene av </w:t>
      </w:r>
      <w:r w:rsidR="00B95D31" w:rsidRPr="00B95D31">
        <w:rPr>
          <w:rFonts w:asciiTheme="minorHAnsi" w:hAnsiTheme="minorHAnsi" w:cstheme="minorHAnsi"/>
          <w:bCs/>
        </w:rPr>
        <w:t xml:space="preserve">Behandling med </w:t>
      </w:r>
      <w:proofErr w:type="spellStart"/>
      <w:r w:rsidR="00B95D31" w:rsidRPr="00B95D31">
        <w:rPr>
          <w:rFonts w:eastAsia="Times New Roman"/>
          <w:lang w:eastAsia="nb-NO"/>
        </w:rPr>
        <w:t>Methotrexat</w:t>
      </w:r>
      <w:r w:rsidR="00B95D31">
        <w:rPr>
          <w:rFonts w:eastAsia="Times New Roman"/>
          <w:lang w:eastAsia="nb-NO"/>
        </w:rPr>
        <w:t>e</w:t>
      </w:r>
      <w:proofErr w:type="spellEnd"/>
      <w:r w:rsidR="00B95D31" w:rsidRPr="00B95D31">
        <w:rPr>
          <w:rFonts w:asciiTheme="minorHAnsi" w:hAnsiTheme="minorHAnsi" w:cstheme="minorHAnsi"/>
          <w:bCs/>
        </w:rPr>
        <w:t xml:space="preserve"> kan i sjeldne tilfeller medføre påvirkning av både lever, lunger og benmarg/blodceller</w:t>
      </w:r>
      <w:r w:rsidR="00B95D31">
        <w:rPr>
          <w:rFonts w:asciiTheme="minorHAnsi" w:hAnsiTheme="minorHAnsi" w:cstheme="minorHAnsi"/>
          <w:bCs/>
        </w:rPr>
        <w:t xml:space="preserve">. </w:t>
      </w:r>
      <w:r w:rsidRPr="00384CDF">
        <w:rPr>
          <w:rFonts w:asciiTheme="minorHAnsi" w:hAnsiTheme="minorHAnsi" w:cstheme="minorHAnsi"/>
          <w:bCs/>
        </w:rPr>
        <w:t>Informer alltid lege om hvilke medisiner du bruker, inkludert reseptfrie preparater og naturmidler.</w:t>
      </w:r>
    </w:p>
    <w:p w14:paraId="5CDCFDA4" w14:textId="77777777" w:rsidR="00384CDF" w:rsidRPr="00384CDF" w:rsidRDefault="00384CDF" w:rsidP="00384CDF">
      <w:pPr>
        <w:rPr>
          <w:rFonts w:asciiTheme="minorHAnsi" w:hAnsiTheme="minorHAnsi" w:cstheme="minorHAnsi"/>
          <w:bCs/>
        </w:rPr>
      </w:pPr>
      <w:r w:rsidRPr="00384CDF">
        <w:rPr>
          <w:rFonts w:asciiTheme="minorHAnsi" w:hAnsiTheme="minorHAnsi" w:cstheme="minorHAnsi"/>
          <w:bCs/>
        </w:rPr>
        <w:t>Særlig viktig:</w:t>
      </w:r>
    </w:p>
    <w:p w14:paraId="24FB7451" w14:textId="423A8430" w:rsidR="00384CDF" w:rsidRPr="00384CDF" w:rsidRDefault="00384CDF" w:rsidP="00384CDF">
      <w:pPr>
        <w:numPr>
          <w:ilvl w:val="0"/>
          <w:numId w:val="3"/>
        </w:numPr>
        <w:rPr>
          <w:rFonts w:asciiTheme="minorHAnsi" w:hAnsiTheme="minorHAnsi" w:cstheme="minorHAnsi"/>
          <w:bCs/>
        </w:rPr>
      </w:pPr>
      <w:proofErr w:type="spellStart"/>
      <w:r w:rsidRPr="00384CDF">
        <w:rPr>
          <w:rFonts w:asciiTheme="minorHAnsi" w:hAnsiTheme="minorHAnsi" w:cstheme="minorHAnsi"/>
          <w:bCs/>
        </w:rPr>
        <w:t>Trimethoprim-sulfa</w:t>
      </w:r>
      <w:proofErr w:type="spellEnd"/>
      <w:r w:rsidRPr="00384CDF">
        <w:rPr>
          <w:rFonts w:asciiTheme="minorHAnsi" w:hAnsiTheme="minorHAnsi" w:cstheme="minorHAnsi"/>
          <w:bCs/>
        </w:rPr>
        <w:t xml:space="preserve"> (for eksempel </w:t>
      </w:r>
      <w:proofErr w:type="spellStart"/>
      <w:r w:rsidRPr="00384CDF">
        <w:rPr>
          <w:rFonts w:asciiTheme="minorHAnsi" w:hAnsiTheme="minorHAnsi" w:cstheme="minorHAnsi"/>
          <w:bCs/>
        </w:rPr>
        <w:t>Bactrim</w:t>
      </w:r>
      <w:proofErr w:type="spellEnd"/>
      <w:r w:rsidRPr="00384CDF">
        <w:rPr>
          <w:rFonts w:asciiTheme="minorHAnsi" w:hAnsiTheme="minorHAnsi" w:cstheme="minorHAnsi"/>
          <w:bCs/>
        </w:rPr>
        <w:t>®) skal unngås.</w:t>
      </w:r>
    </w:p>
    <w:p w14:paraId="5DAA04F1" w14:textId="77777777" w:rsidR="00384CDF" w:rsidRPr="00384CDF" w:rsidRDefault="00384CDF" w:rsidP="00384CDF">
      <w:pPr>
        <w:numPr>
          <w:ilvl w:val="0"/>
          <w:numId w:val="3"/>
        </w:numPr>
        <w:rPr>
          <w:rFonts w:asciiTheme="minorHAnsi" w:hAnsiTheme="minorHAnsi" w:cstheme="minorHAnsi"/>
          <w:bCs/>
        </w:rPr>
      </w:pPr>
      <w:proofErr w:type="spellStart"/>
      <w:r w:rsidRPr="00384CDF">
        <w:rPr>
          <w:rFonts w:asciiTheme="minorHAnsi" w:hAnsiTheme="minorHAnsi" w:cstheme="minorHAnsi"/>
          <w:bCs/>
        </w:rPr>
        <w:t>NSAIDs</w:t>
      </w:r>
      <w:proofErr w:type="spellEnd"/>
      <w:r w:rsidRPr="00384CDF">
        <w:rPr>
          <w:rFonts w:asciiTheme="minorHAnsi" w:hAnsiTheme="minorHAnsi" w:cstheme="minorHAnsi"/>
          <w:bCs/>
        </w:rPr>
        <w:t xml:space="preserve"> (for eksempel </w:t>
      </w:r>
      <w:proofErr w:type="spellStart"/>
      <w:r w:rsidRPr="00384CDF">
        <w:rPr>
          <w:rFonts w:asciiTheme="minorHAnsi" w:hAnsiTheme="minorHAnsi" w:cstheme="minorHAnsi"/>
          <w:bCs/>
        </w:rPr>
        <w:t>ibuprofen</w:t>
      </w:r>
      <w:proofErr w:type="spellEnd"/>
      <w:r w:rsidRPr="00384CDF">
        <w:rPr>
          <w:rFonts w:asciiTheme="minorHAnsi" w:hAnsiTheme="minorHAnsi" w:cstheme="minorHAnsi"/>
          <w:bCs/>
        </w:rPr>
        <w:t xml:space="preserve">, </w:t>
      </w:r>
      <w:proofErr w:type="spellStart"/>
      <w:r w:rsidRPr="00384CDF">
        <w:rPr>
          <w:rFonts w:asciiTheme="minorHAnsi" w:hAnsiTheme="minorHAnsi" w:cstheme="minorHAnsi"/>
          <w:bCs/>
        </w:rPr>
        <w:t>naproksen</w:t>
      </w:r>
      <w:proofErr w:type="spellEnd"/>
      <w:r w:rsidRPr="00384CDF">
        <w:rPr>
          <w:rFonts w:asciiTheme="minorHAnsi" w:hAnsiTheme="minorHAnsi" w:cstheme="minorHAnsi"/>
          <w:bCs/>
        </w:rPr>
        <w:t xml:space="preserve"> og </w:t>
      </w:r>
      <w:proofErr w:type="spellStart"/>
      <w:r w:rsidRPr="00384CDF">
        <w:rPr>
          <w:rFonts w:asciiTheme="minorHAnsi" w:hAnsiTheme="minorHAnsi" w:cstheme="minorHAnsi"/>
          <w:bCs/>
        </w:rPr>
        <w:t>diklofenak</w:t>
      </w:r>
      <w:proofErr w:type="spellEnd"/>
      <w:r w:rsidRPr="00384CDF">
        <w:rPr>
          <w:rFonts w:asciiTheme="minorHAnsi" w:hAnsiTheme="minorHAnsi" w:cstheme="minorHAnsi"/>
          <w:bCs/>
        </w:rPr>
        <w:t>) kan i enkelte tilfeller påvirke behandlingen, men kan ofte brukes i vanlige doser etter avtale med lege.</w:t>
      </w:r>
    </w:p>
    <w:p w14:paraId="5E8C7042" w14:textId="77777777" w:rsidR="00384CDF" w:rsidRPr="00384CDF" w:rsidRDefault="00384CDF" w:rsidP="00384CDF">
      <w:pPr>
        <w:rPr>
          <w:rFonts w:asciiTheme="minorHAnsi" w:hAnsiTheme="minorHAnsi" w:cstheme="minorHAnsi"/>
          <w:bCs/>
        </w:rPr>
      </w:pPr>
      <w:r w:rsidRPr="00384CDF">
        <w:rPr>
          <w:rFonts w:asciiTheme="minorHAnsi" w:hAnsiTheme="minorHAnsi" w:cstheme="minorHAnsi"/>
          <w:bCs/>
        </w:rPr>
        <w:t>Ved oppstart av nye medisiner bør dette avklares med lege.</w:t>
      </w:r>
    </w:p>
    <w:p w14:paraId="0B3C7D51" w14:textId="77777777" w:rsidR="00384CDF" w:rsidRPr="00384CDF" w:rsidRDefault="00384CDF" w:rsidP="00F623FE">
      <w:pPr>
        <w:rPr>
          <w:rFonts w:asciiTheme="minorHAnsi" w:hAnsiTheme="minorHAnsi" w:cstheme="minorHAnsi"/>
          <w:bCs/>
        </w:rPr>
      </w:pPr>
    </w:p>
    <w:p w14:paraId="1A55D93E" w14:textId="77777777" w:rsidR="00384CDF" w:rsidRPr="00384CDF" w:rsidRDefault="00384CDF" w:rsidP="00F623FE">
      <w:pPr>
        <w:rPr>
          <w:rFonts w:asciiTheme="minorHAnsi" w:hAnsiTheme="minorHAnsi" w:cstheme="minorHAnsi"/>
          <w:bCs/>
        </w:rPr>
      </w:pPr>
    </w:p>
    <w:p w14:paraId="2DE51734" w14:textId="77777777" w:rsidR="0035401A" w:rsidRPr="002C5F8B" w:rsidRDefault="000B52C1" w:rsidP="00F623FE">
      <w:pPr>
        <w:rPr>
          <w:rFonts w:asciiTheme="minorHAnsi" w:hAnsiTheme="minorHAnsi" w:cstheme="minorHAnsi"/>
          <w:b/>
        </w:rPr>
      </w:pPr>
      <w:r w:rsidRPr="002C5F8B">
        <w:rPr>
          <w:rFonts w:asciiTheme="minorHAnsi" w:hAnsiTheme="minorHAnsi" w:cstheme="minorHAnsi"/>
          <w:b/>
        </w:rPr>
        <w:t>Graviditet,</w:t>
      </w:r>
      <w:r w:rsidR="0035401A" w:rsidRPr="002C5F8B">
        <w:rPr>
          <w:rFonts w:asciiTheme="minorHAnsi" w:hAnsiTheme="minorHAnsi" w:cstheme="minorHAnsi"/>
          <w:b/>
        </w:rPr>
        <w:t xml:space="preserve"> amming</w:t>
      </w:r>
      <w:r w:rsidRPr="002C5F8B">
        <w:rPr>
          <w:rFonts w:asciiTheme="minorHAnsi" w:hAnsiTheme="minorHAnsi" w:cstheme="minorHAnsi"/>
          <w:b/>
        </w:rPr>
        <w:t xml:space="preserve"> og fruktbarhet</w:t>
      </w:r>
    </w:p>
    <w:p w14:paraId="48B7F5D7" w14:textId="47AD89CC" w:rsidR="002E06B8" w:rsidRPr="002C5F8B" w:rsidRDefault="00094439" w:rsidP="00F623FE">
      <w:pPr>
        <w:rPr>
          <w:rFonts w:asciiTheme="minorHAnsi" w:hAnsiTheme="minorHAnsi" w:cstheme="minorHAnsi"/>
        </w:rPr>
      </w:pPr>
      <w:r w:rsidRPr="002C5F8B">
        <w:rPr>
          <w:rFonts w:asciiTheme="minorHAnsi" w:hAnsiTheme="minorHAnsi" w:cstheme="minorHAnsi"/>
        </w:rPr>
        <w:t xml:space="preserve">Det anbefales at kvinner og menn bruker sikker prevensjon i 3 måneder etter avsluttet behandling. </w:t>
      </w:r>
      <w:r w:rsidR="00B95D31" w:rsidRPr="00B95D31">
        <w:rPr>
          <w:rFonts w:asciiTheme="minorHAnsi" w:hAnsiTheme="minorHAnsi" w:cstheme="minorHAnsi"/>
        </w:rPr>
        <w:t xml:space="preserve">Behandling med </w:t>
      </w:r>
      <w:proofErr w:type="spellStart"/>
      <w:r w:rsidR="00B95D31" w:rsidRPr="00B95D31">
        <w:rPr>
          <w:rFonts w:eastAsia="Times New Roman"/>
          <w:lang w:eastAsia="nb-NO"/>
        </w:rPr>
        <w:t>Methotrexat</w:t>
      </w:r>
      <w:r w:rsidR="00B95D31">
        <w:rPr>
          <w:rFonts w:eastAsia="Times New Roman"/>
          <w:lang w:eastAsia="nb-NO"/>
        </w:rPr>
        <w:t>e</w:t>
      </w:r>
      <w:proofErr w:type="spellEnd"/>
      <w:r w:rsidR="00B95D31" w:rsidRPr="00B95D31">
        <w:rPr>
          <w:rFonts w:asciiTheme="minorHAnsi" w:hAnsiTheme="minorHAnsi" w:cstheme="minorHAnsi"/>
        </w:rPr>
        <w:t xml:space="preserve"> kan i sjeldne tilfeller medføre påvirkning av både lever, lunger og benmarg/blodceller</w:t>
      </w:r>
      <w:r w:rsidR="0035401A" w:rsidRPr="002C5F8B">
        <w:rPr>
          <w:rFonts w:asciiTheme="minorHAnsi" w:hAnsiTheme="minorHAnsi" w:cstheme="minorHAnsi"/>
        </w:rPr>
        <w:t xml:space="preserve"> </w:t>
      </w:r>
      <w:r w:rsidR="007961AD" w:rsidRPr="002C5F8B">
        <w:rPr>
          <w:rFonts w:asciiTheme="minorHAnsi" w:hAnsiTheme="minorHAnsi" w:cstheme="minorHAnsi"/>
        </w:rPr>
        <w:t xml:space="preserve">skal ikke brukes </w:t>
      </w:r>
      <w:r w:rsidR="00720408" w:rsidRPr="002C5F8B">
        <w:rPr>
          <w:rFonts w:asciiTheme="minorHAnsi" w:hAnsiTheme="minorHAnsi" w:cstheme="minorHAnsi"/>
        </w:rPr>
        <w:t>av gravide eller ammende fordi det</w:t>
      </w:r>
      <w:r w:rsidR="007961AD" w:rsidRPr="002C5F8B">
        <w:rPr>
          <w:rFonts w:asciiTheme="minorHAnsi" w:hAnsiTheme="minorHAnsi" w:cstheme="minorHAnsi"/>
        </w:rPr>
        <w:t xml:space="preserve"> er </w:t>
      </w:r>
      <w:r w:rsidR="00720408" w:rsidRPr="002C5F8B">
        <w:rPr>
          <w:rFonts w:asciiTheme="minorHAnsi" w:hAnsiTheme="minorHAnsi" w:cstheme="minorHAnsi"/>
        </w:rPr>
        <w:t>skadelig for foster</w:t>
      </w:r>
      <w:r w:rsidRPr="002C5F8B">
        <w:rPr>
          <w:rFonts w:asciiTheme="minorHAnsi" w:hAnsiTheme="minorHAnsi" w:cstheme="minorHAnsi"/>
        </w:rPr>
        <w:t>et</w:t>
      </w:r>
      <w:r w:rsidR="00720408" w:rsidRPr="002C5F8B">
        <w:rPr>
          <w:rFonts w:asciiTheme="minorHAnsi" w:hAnsiTheme="minorHAnsi" w:cstheme="minorHAnsi"/>
        </w:rPr>
        <w:t xml:space="preserve">. </w:t>
      </w:r>
      <w:r w:rsidR="0035401A" w:rsidRPr="002C5F8B">
        <w:rPr>
          <w:rFonts w:asciiTheme="minorHAnsi" w:hAnsiTheme="minorHAnsi" w:cstheme="minorHAnsi"/>
        </w:rPr>
        <w:t>Dersom menn bruker det og deres partner blir gravid</w:t>
      </w:r>
      <w:r w:rsidR="00AD2FD6" w:rsidRPr="002C5F8B">
        <w:rPr>
          <w:rFonts w:asciiTheme="minorHAnsi" w:hAnsiTheme="minorHAnsi" w:cstheme="minorHAnsi"/>
        </w:rPr>
        <w:t>,</w:t>
      </w:r>
      <w:r w:rsidR="0035401A" w:rsidRPr="002C5F8B">
        <w:rPr>
          <w:rFonts w:asciiTheme="minorHAnsi" w:hAnsiTheme="minorHAnsi" w:cstheme="minorHAnsi"/>
        </w:rPr>
        <w:t xml:space="preserve"> er det ikke sett foster</w:t>
      </w:r>
      <w:r w:rsidR="008448CA" w:rsidRPr="002C5F8B">
        <w:rPr>
          <w:rFonts w:asciiTheme="minorHAnsi" w:hAnsiTheme="minorHAnsi" w:cstheme="minorHAnsi"/>
        </w:rPr>
        <w:t xml:space="preserve">skader hos barnet. Derimot kan </w:t>
      </w:r>
      <w:proofErr w:type="spellStart"/>
      <w:r w:rsidR="00B95D31" w:rsidRPr="00B95D31">
        <w:rPr>
          <w:rFonts w:eastAsia="Times New Roman"/>
          <w:lang w:eastAsia="nb-NO"/>
        </w:rPr>
        <w:t>Methotrexat</w:t>
      </w:r>
      <w:r w:rsidR="00B95D31">
        <w:rPr>
          <w:rFonts w:eastAsia="Times New Roman"/>
          <w:lang w:eastAsia="nb-NO"/>
        </w:rPr>
        <w:t>e</w:t>
      </w:r>
      <w:proofErr w:type="spellEnd"/>
      <w:r w:rsidR="0035401A" w:rsidRPr="002C5F8B">
        <w:rPr>
          <w:rFonts w:asciiTheme="minorHAnsi" w:hAnsiTheme="minorHAnsi" w:cstheme="minorHAnsi"/>
        </w:rPr>
        <w:t xml:space="preserve"> nedsette fruktbarheten til menn</w:t>
      </w:r>
      <w:r w:rsidR="00AD2FD6" w:rsidRPr="002C5F8B">
        <w:rPr>
          <w:rFonts w:asciiTheme="minorHAnsi" w:hAnsiTheme="minorHAnsi" w:cstheme="minorHAnsi"/>
        </w:rPr>
        <w:t>. F</w:t>
      </w:r>
      <w:r w:rsidR="000B52C1" w:rsidRPr="002C5F8B">
        <w:rPr>
          <w:rFonts w:asciiTheme="minorHAnsi" w:hAnsiTheme="minorHAnsi" w:cstheme="minorHAnsi"/>
        </w:rPr>
        <w:t xml:space="preserve">ruktbarheten normaliseres </w:t>
      </w:r>
      <w:r w:rsidR="00AD2FD6" w:rsidRPr="002C5F8B">
        <w:rPr>
          <w:rFonts w:asciiTheme="minorHAnsi" w:hAnsiTheme="minorHAnsi" w:cstheme="minorHAnsi"/>
        </w:rPr>
        <w:t>2-3</w:t>
      </w:r>
      <w:r w:rsidR="008448CA" w:rsidRPr="002C5F8B">
        <w:rPr>
          <w:rFonts w:asciiTheme="minorHAnsi" w:hAnsiTheme="minorHAnsi" w:cstheme="minorHAnsi"/>
        </w:rPr>
        <w:t xml:space="preserve"> </w:t>
      </w:r>
      <w:r w:rsidR="00AD2FD6" w:rsidRPr="002C5F8B">
        <w:rPr>
          <w:rFonts w:asciiTheme="minorHAnsi" w:hAnsiTheme="minorHAnsi" w:cstheme="minorHAnsi"/>
        </w:rPr>
        <w:t xml:space="preserve">måneder etter avsluttet behandling. </w:t>
      </w:r>
    </w:p>
    <w:p w14:paraId="545F0BAD" w14:textId="77777777" w:rsidR="00874AFF" w:rsidRDefault="00874AFF" w:rsidP="00F623FE">
      <w:pPr>
        <w:rPr>
          <w:rFonts w:asciiTheme="minorHAnsi" w:hAnsiTheme="minorHAnsi" w:cstheme="minorHAnsi"/>
        </w:rPr>
      </w:pPr>
    </w:p>
    <w:p w14:paraId="788BF459" w14:textId="77777777" w:rsidR="00B21EED" w:rsidRPr="002C5F8B" w:rsidRDefault="00B21EED" w:rsidP="00F623FE">
      <w:pPr>
        <w:rPr>
          <w:rFonts w:asciiTheme="minorHAnsi" w:hAnsiTheme="minorHAnsi" w:cstheme="minorHAnsi"/>
        </w:rPr>
      </w:pPr>
    </w:p>
    <w:p w14:paraId="5D4FCC21" w14:textId="2C6D35FE" w:rsidR="00874AFF" w:rsidRPr="002C5F8B" w:rsidRDefault="00384CDF" w:rsidP="00F623F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Alkohol</w:t>
      </w:r>
    </w:p>
    <w:p w14:paraId="5956F77C" w14:textId="18F49715" w:rsidR="00AD2FD6" w:rsidRPr="002C5F8B" w:rsidRDefault="0027536A" w:rsidP="00F623FE">
      <w:pPr>
        <w:rPr>
          <w:rFonts w:asciiTheme="minorHAnsi" w:hAnsiTheme="minorHAnsi" w:cstheme="minorHAnsi"/>
        </w:rPr>
      </w:pPr>
      <w:r w:rsidRPr="002C5F8B">
        <w:rPr>
          <w:rFonts w:asciiTheme="minorHAnsi" w:hAnsiTheme="minorHAnsi" w:cstheme="minorHAnsi"/>
        </w:rPr>
        <w:t>Bruk av a</w:t>
      </w:r>
      <w:r w:rsidR="008448CA" w:rsidRPr="002C5F8B">
        <w:rPr>
          <w:rFonts w:asciiTheme="minorHAnsi" w:hAnsiTheme="minorHAnsi" w:cstheme="minorHAnsi"/>
        </w:rPr>
        <w:t xml:space="preserve">lkohol sammen med </w:t>
      </w:r>
      <w:proofErr w:type="spellStart"/>
      <w:r w:rsidR="00B95D31" w:rsidRPr="00B95D31">
        <w:rPr>
          <w:rFonts w:eastAsia="Times New Roman"/>
          <w:lang w:eastAsia="nb-NO"/>
        </w:rPr>
        <w:t>Methotrexat</w:t>
      </w:r>
      <w:r w:rsidR="00B95D31">
        <w:rPr>
          <w:rFonts w:eastAsia="Times New Roman"/>
          <w:lang w:eastAsia="nb-NO"/>
        </w:rPr>
        <w:t>e</w:t>
      </w:r>
      <w:proofErr w:type="spellEnd"/>
      <w:r w:rsidR="00B95D31" w:rsidRPr="00B95D31">
        <w:rPr>
          <w:rFonts w:eastAsia="Times New Roman"/>
          <w:lang w:eastAsia="nb-NO"/>
        </w:rPr>
        <w:t xml:space="preserve"> </w:t>
      </w:r>
      <w:r w:rsidR="00141BE0" w:rsidRPr="002C5F8B">
        <w:rPr>
          <w:rFonts w:asciiTheme="minorHAnsi" w:hAnsiTheme="minorHAnsi" w:cstheme="minorHAnsi"/>
        </w:rPr>
        <w:t xml:space="preserve">kan skade leveren. </w:t>
      </w:r>
      <w:proofErr w:type="spellStart"/>
      <w:r w:rsidR="00141BE0" w:rsidRPr="002C5F8B">
        <w:rPr>
          <w:rFonts w:asciiTheme="minorHAnsi" w:hAnsiTheme="minorHAnsi" w:cstheme="minorHAnsi"/>
        </w:rPr>
        <w:t>Alkholforbruk</w:t>
      </w:r>
      <w:proofErr w:type="spellEnd"/>
      <w:r w:rsidR="00141BE0" w:rsidRPr="002C5F8B">
        <w:rPr>
          <w:rFonts w:asciiTheme="minorHAnsi" w:hAnsiTheme="minorHAnsi" w:cstheme="minorHAnsi"/>
        </w:rPr>
        <w:t xml:space="preserve"> må reduseres til </w:t>
      </w:r>
      <w:r w:rsidR="007A4F21" w:rsidRPr="002C5F8B">
        <w:rPr>
          <w:rFonts w:asciiTheme="minorHAnsi" w:hAnsiTheme="minorHAnsi" w:cstheme="minorHAnsi"/>
        </w:rPr>
        <w:t xml:space="preserve">et </w:t>
      </w:r>
      <w:proofErr w:type="spellStart"/>
      <w:r w:rsidR="00141BE0" w:rsidRPr="002C5F8B">
        <w:rPr>
          <w:rFonts w:asciiTheme="minorHAnsi" w:hAnsiTheme="minorHAnsi" w:cstheme="minorHAnsi"/>
        </w:rPr>
        <w:t>miniumum</w:t>
      </w:r>
      <w:proofErr w:type="spellEnd"/>
      <w:r w:rsidR="00141BE0" w:rsidRPr="002C5F8B">
        <w:rPr>
          <w:rFonts w:asciiTheme="minorHAnsi" w:hAnsiTheme="minorHAnsi" w:cstheme="minorHAnsi"/>
        </w:rPr>
        <w:t xml:space="preserve"> og </w:t>
      </w:r>
      <w:r w:rsidR="007A4F21" w:rsidRPr="002C5F8B">
        <w:rPr>
          <w:rFonts w:asciiTheme="minorHAnsi" w:hAnsiTheme="minorHAnsi" w:cstheme="minorHAnsi"/>
        </w:rPr>
        <w:t xml:space="preserve">må </w:t>
      </w:r>
      <w:r w:rsidR="00AD4812" w:rsidRPr="002C5F8B">
        <w:rPr>
          <w:rFonts w:asciiTheme="minorHAnsi" w:hAnsiTheme="minorHAnsi" w:cstheme="minorHAnsi"/>
        </w:rPr>
        <w:t>maksimalt ikke</w:t>
      </w:r>
      <w:r w:rsidR="00141BE0" w:rsidRPr="002C5F8B">
        <w:rPr>
          <w:rFonts w:asciiTheme="minorHAnsi" w:hAnsiTheme="minorHAnsi" w:cstheme="minorHAnsi"/>
        </w:rPr>
        <w:t xml:space="preserve"> overstige 3 enheter i uken.</w:t>
      </w:r>
    </w:p>
    <w:p w14:paraId="786146A8" w14:textId="77777777" w:rsidR="002C14A1" w:rsidRPr="002C5F8B" w:rsidRDefault="002C14A1" w:rsidP="00F623FE">
      <w:pPr>
        <w:rPr>
          <w:rFonts w:asciiTheme="minorHAnsi" w:hAnsiTheme="minorHAnsi" w:cstheme="minorHAnsi"/>
          <w:sz w:val="16"/>
          <w:szCs w:val="16"/>
        </w:rPr>
      </w:pPr>
    </w:p>
    <w:sectPr w:rsidR="002C14A1" w:rsidRPr="002C5F8B" w:rsidSect="00F64567">
      <w:headerReference w:type="default" r:id="rId7"/>
      <w:footerReference w:type="default" r:id="rId8"/>
      <w:pgSz w:w="11906" w:h="16838"/>
      <w:pgMar w:top="567" w:right="1418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24DE" w14:textId="77777777" w:rsidR="00FB28C9" w:rsidRDefault="00FB28C9" w:rsidP="002117EC">
      <w:r>
        <w:separator/>
      </w:r>
    </w:p>
  </w:endnote>
  <w:endnote w:type="continuationSeparator" w:id="0">
    <w:p w14:paraId="3DBEAB97" w14:textId="77777777" w:rsidR="00FB28C9" w:rsidRDefault="00FB28C9" w:rsidP="0021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A0EB" w14:textId="5BDA531F" w:rsidR="00911DB2" w:rsidRPr="002C5F8B" w:rsidRDefault="00911DB2" w:rsidP="00AD4812">
    <w:pPr>
      <w:tabs>
        <w:tab w:val="center" w:pos="4536"/>
        <w:tab w:val="right" w:pos="9072"/>
      </w:tabs>
      <w:rPr>
        <w:rFonts w:asciiTheme="minorHAnsi" w:hAnsiTheme="minorHAnsi" w:cstheme="minorHAnsi"/>
        <w:i/>
        <w:iCs/>
        <w:sz w:val="20"/>
        <w:szCs w:val="20"/>
      </w:rPr>
    </w:pPr>
    <w:r w:rsidRPr="002C5F8B">
      <w:rPr>
        <w:rFonts w:asciiTheme="minorHAnsi" w:hAnsiTheme="minorHAnsi" w:cstheme="minorHAnsi"/>
        <w:i/>
        <w:iCs/>
        <w:sz w:val="20"/>
        <w:szCs w:val="20"/>
      </w:rPr>
      <w:t>Hudavdelingen</w:t>
    </w:r>
    <w:r w:rsidR="00E6073B" w:rsidRPr="002C5F8B">
      <w:rPr>
        <w:rFonts w:asciiTheme="minorHAnsi" w:hAnsiTheme="minorHAnsi" w:cstheme="minorHAnsi"/>
        <w:i/>
        <w:iCs/>
        <w:sz w:val="20"/>
        <w:szCs w:val="20"/>
      </w:rPr>
      <w:t xml:space="preserve"> </w:t>
    </w:r>
    <w:r w:rsidRPr="002C5F8B">
      <w:rPr>
        <w:rFonts w:asciiTheme="minorHAnsi" w:hAnsiTheme="minorHAnsi" w:cstheme="minorHAnsi"/>
        <w:i/>
        <w:iCs/>
        <w:sz w:val="20"/>
        <w:szCs w:val="20"/>
      </w:rPr>
      <w:t>20</w:t>
    </w:r>
    <w:r w:rsidR="00384CDF">
      <w:rPr>
        <w:rFonts w:asciiTheme="minorHAnsi" w:hAnsiTheme="minorHAnsi" w:cstheme="minorHAnsi"/>
        <w:i/>
        <w:iCs/>
        <w:sz w:val="20"/>
        <w:szCs w:val="20"/>
      </w:rPr>
      <w:t>26</w:t>
    </w:r>
    <w:r w:rsidRPr="002C5F8B">
      <w:rPr>
        <w:rFonts w:asciiTheme="minorHAnsi" w:hAnsiTheme="minorHAnsi" w:cstheme="minorHAnsi"/>
        <w:i/>
        <w:iCs/>
        <w:sz w:val="20"/>
        <w:szCs w:val="20"/>
      </w:rPr>
      <w:t xml:space="preserve"> </w:t>
    </w:r>
    <w:r w:rsidR="00384CDF">
      <w:rPr>
        <w:rFonts w:asciiTheme="minorHAnsi" w:hAnsiTheme="minorHAnsi" w:cstheme="minorHAnsi"/>
        <w:i/>
        <w:iCs/>
        <w:sz w:val="20"/>
        <w:szCs w:val="20"/>
      </w:rPr>
      <w:t>IMS</w:t>
    </w:r>
  </w:p>
  <w:p w14:paraId="18C73FE6" w14:textId="77777777" w:rsidR="00911DB2" w:rsidRPr="002C5F8B" w:rsidRDefault="00911DB2">
    <w:pPr>
      <w:pStyle w:val="Bunntekst"/>
      <w:rPr>
        <w:rFonts w:asciiTheme="minorHAnsi" w:hAnsiTheme="minorHAnsi" w:cstheme="minorHAnsi"/>
        <w:i/>
        <w:iCs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9AAAF" w14:textId="77777777" w:rsidR="00FB28C9" w:rsidRDefault="00FB28C9" w:rsidP="002117EC">
      <w:r>
        <w:separator/>
      </w:r>
    </w:p>
  </w:footnote>
  <w:footnote w:type="continuationSeparator" w:id="0">
    <w:p w14:paraId="35E24C21" w14:textId="77777777" w:rsidR="00FB28C9" w:rsidRDefault="00FB28C9" w:rsidP="00211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B1FB" w14:textId="02EAE2BD" w:rsidR="002C5F8B" w:rsidRDefault="002C5F8B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C5B7B" wp14:editId="6E7B153E">
          <wp:simplePos x="0" y="0"/>
          <wp:positionH relativeFrom="column">
            <wp:posOffset>-93345</wp:posOffset>
          </wp:positionH>
          <wp:positionV relativeFrom="paragraph">
            <wp:posOffset>-26670</wp:posOffset>
          </wp:positionV>
          <wp:extent cx="2343150" cy="523875"/>
          <wp:effectExtent l="0" t="0" r="0" b="0"/>
          <wp:wrapNone/>
          <wp:docPr id="181498054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B91"/>
    <w:multiLevelType w:val="multilevel"/>
    <w:tmpl w:val="863C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43A7E"/>
    <w:multiLevelType w:val="multilevel"/>
    <w:tmpl w:val="6F28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107BA"/>
    <w:multiLevelType w:val="multilevel"/>
    <w:tmpl w:val="5A4E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712123">
    <w:abstractNumId w:val="1"/>
  </w:num>
  <w:num w:numId="2" w16cid:durableId="1613365910">
    <w:abstractNumId w:val="2"/>
  </w:num>
  <w:num w:numId="3" w16cid:durableId="40726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FE"/>
    <w:rsid w:val="00094439"/>
    <w:rsid w:val="000B52C1"/>
    <w:rsid w:val="00141BE0"/>
    <w:rsid w:val="001753D4"/>
    <w:rsid w:val="00184421"/>
    <w:rsid w:val="001940A8"/>
    <w:rsid w:val="002117EC"/>
    <w:rsid w:val="002255DF"/>
    <w:rsid w:val="002333F5"/>
    <w:rsid w:val="002510C1"/>
    <w:rsid w:val="0027536A"/>
    <w:rsid w:val="002969E5"/>
    <w:rsid w:val="002C14A1"/>
    <w:rsid w:val="002C5F8B"/>
    <w:rsid w:val="002C7B0F"/>
    <w:rsid w:val="002E06B8"/>
    <w:rsid w:val="00341C25"/>
    <w:rsid w:val="0035401A"/>
    <w:rsid w:val="00364844"/>
    <w:rsid w:val="00384CDF"/>
    <w:rsid w:val="003E565B"/>
    <w:rsid w:val="0049247B"/>
    <w:rsid w:val="0053076F"/>
    <w:rsid w:val="00590C8B"/>
    <w:rsid w:val="005E0693"/>
    <w:rsid w:val="00635010"/>
    <w:rsid w:val="00654E0F"/>
    <w:rsid w:val="00676AF1"/>
    <w:rsid w:val="006A2BCF"/>
    <w:rsid w:val="00720408"/>
    <w:rsid w:val="007434FF"/>
    <w:rsid w:val="007725A7"/>
    <w:rsid w:val="007961AD"/>
    <w:rsid w:val="007A4F21"/>
    <w:rsid w:val="007B3280"/>
    <w:rsid w:val="00811015"/>
    <w:rsid w:val="008448CA"/>
    <w:rsid w:val="00874AFF"/>
    <w:rsid w:val="008F12B1"/>
    <w:rsid w:val="00911DB2"/>
    <w:rsid w:val="00915715"/>
    <w:rsid w:val="00920259"/>
    <w:rsid w:val="00983FEE"/>
    <w:rsid w:val="009B0EAC"/>
    <w:rsid w:val="009C3F2F"/>
    <w:rsid w:val="009E7AE1"/>
    <w:rsid w:val="00AD2FD6"/>
    <w:rsid w:val="00AD4812"/>
    <w:rsid w:val="00B21EED"/>
    <w:rsid w:val="00B62255"/>
    <w:rsid w:val="00B95D31"/>
    <w:rsid w:val="00C303A8"/>
    <w:rsid w:val="00C850D0"/>
    <w:rsid w:val="00CD3734"/>
    <w:rsid w:val="00D14D94"/>
    <w:rsid w:val="00D20642"/>
    <w:rsid w:val="00E4603C"/>
    <w:rsid w:val="00E6073B"/>
    <w:rsid w:val="00EF4202"/>
    <w:rsid w:val="00F06D0F"/>
    <w:rsid w:val="00F17B7F"/>
    <w:rsid w:val="00F51D28"/>
    <w:rsid w:val="00F623FE"/>
    <w:rsid w:val="00F64567"/>
    <w:rsid w:val="00F9451F"/>
    <w:rsid w:val="00FB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51A1B"/>
  <w15:chartTrackingRefBased/>
  <w15:docId w15:val="{2F7CE7DF-0AB0-4E06-B384-C6FC7E3D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2117E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2117EC"/>
    <w:rPr>
      <w:sz w:val="24"/>
      <w:szCs w:val="24"/>
      <w:lang w:eastAsia="ja-JP"/>
    </w:rPr>
  </w:style>
  <w:style w:type="paragraph" w:styleId="Bunntekst">
    <w:name w:val="footer"/>
    <w:basedOn w:val="Normal"/>
    <w:link w:val="BunntekstTegn"/>
    <w:rsid w:val="002117E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2117EC"/>
    <w:rPr>
      <w:sz w:val="24"/>
      <w:szCs w:val="24"/>
      <w:lang w:eastAsia="ja-JP"/>
    </w:rPr>
  </w:style>
  <w:style w:type="paragraph" w:customStyle="1" w:styleId="isselectedend">
    <w:name w:val="isselectedend"/>
    <w:basedOn w:val="Normal"/>
    <w:rsid w:val="00384CDF"/>
    <w:pPr>
      <w:spacing w:before="100" w:beforeAutospacing="1" w:after="100" w:afterAutospacing="1"/>
    </w:pPr>
    <w:rPr>
      <w:rFonts w:eastAsia="Times New Roman"/>
      <w:lang w:eastAsia="nb-NO"/>
    </w:rPr>
  </w:style>
  <w:style w:type="paragraph" w:styleId="NormalWeb">
    <w:name w:val="Normal (Web)"/>
    <w:basedOn w:val="Normal"/>
    <w:uiPriority w:val="99"/>
    <w:unhideWhenUsed/>
    <w:rsid w:val="00384CDF"/>
    <w:pPr>
      <w:spacing w:before="100" w:beforeAutospacing="1" w:after="100" w:afterAutospacing="1"/>
    </w:pPr>
    <w:rPr>
      <w:rFonts w:eastAsia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526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Pasient informasjon</vt:lpstr>
    </vt:vector>
  </TitlesOfParts>
  <Company>Helse Vest RHF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Pasient informasjon</dc:title>
  <dc:subject/>
  <dc:creator>sus_raso</dc:creator>
  <cp:keywords/>
  <cp:lastModifiedBy>Skoie, Inger Marie</cp:lastModifiedBy>
  <cp:revision>3</cp:revision>
  <cp:lastPrinted>2018-01-23T11:25:00Z</cp:lastPrinted>
  <dcterms:created xsi:type="dcterms:W3CDTF">2026-06-03T13:06:00Z</dcterms:created>
  <dcterms:modified xsi:type="dcterms:W3CDTF">2026-06-04T06:24:00Z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3ffc1c-ef00-4620-9c2f-7d9c1597774b_Enabled">
    <vt:lpwstr>true</vt:lpwstr>
  </property>
  <property fmtid="{D5CDD505-2E9C-101B-9397-08002B2CF9AE}" pid="3" name="MSIP_Label_0c3ffc1c-ef00-4620-9c2f-7d9c1597774b_SetDate">
    <vt:lpwstr>2025-03-11T12:47:36Z</vt:lpwstr>
  </property>
  <property fmtid="{D5CDD505-2E9C-101B-9397-08002B2CF9AE}" pid="4" name="MSIP_Label_0c3ffc1c-ef00-4620-9c2f-7d9c1597774b_Method">
    <vt:lpwstr>Standard</vt:lpwstr>
  </property>
  <property fmtid="{D5CDD505-2E9C-101B-9397-08002B2CF9AE}" pid="5" name="MSIP_Label_0c3ffc1c-ef00-4620-9c2f-7d9c1597774b_Name">
    <vt:lpwstr>Intern</vt:lpwstr>
  </property>
  <property fmtid="{D5CDD505-2E9C-101B-9397-08002B2CF9AE}" pid="6" name="MSIP_Label_0c3ffc1c-ef00-4620-9c2f-7d9c1597774b_SiteId">
    <vt:lpwstr>bdcbe535-f3cf-49f5-8a6a-fb6d98dc7837</vt:lpwstr>
  </property>
  <property fmtid="{D5CDD505-2E9C-101B-9397-08002B2CF9AE}" pid="7" name="MSIP_Label_0c3ffc1c-ef00-4620-9c2f-7d9c1597774b_ActionId">
    <vt:lpwstr>e0b918a0-87d1-4fe1-b11e-58a517cd9746</vt:lpwstr>
  </property>
  <property fmtid="{D5CDD505-2E9C-101B-9397-08002B2CF9AE}" pid="8" name="MSIP_Label_0c3ffc1c-ef00-4620-9c2f-7d9c1597774b_ContentBits">
    <vt:lpwstr>2</vt:lpwstr>
  </property>
</Properties>
</file>